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b/>
          <w:bCs/>
          <w:sz w:val="44"/>
          <w:szCs w:val="44"/>
        </w:rPr>
      </w:pPr>
      <w:r>
        <w:rPr>
          <w:rFonts w:hint="eastAsia" w:ascii="宋体" w:hAnsi="宋体" w:cs="宋体"/>
          <w:b/>
          <w:bCs/>
          <w:sz w:val="44"/>
          <w:szCs w:val="44"/>
          <w:lang w:eastAsia="zh-CN"/>
        </w:rPr>
        <w:t>温室</w:t>
      </w:r>
      <w:r>
        <w:rPr>
          <w:rFonts w:hint="eastAsia" w:ascii="宋体" w:hAnsi="宋体" w:cs="宋体"/>
          <w:b/>
          <w:bCs/>
          <w:sz w:val="44"/>
          <w:szCs w:val="44"/>
          <w:lang w:val="en-US" w:eastAsia="zh-CN"/>
        </w:rPr>
        <w:t>大棚</w:t>
      </w:r>
      <w:r>
        <w:rPr>
          <w:rFonts w:hint="eastAsia" w:ascii="宋体" w:hAnsi="宋体" w:cs="宋体"/>
          <w:b/>
          <w:bCs/>
          <w:sz w:val="44"/>
          <w:szCs w:val="44"/>
          <w:lang w:eastAsia="zh-CN"/>
        </w:rPr>
        <w:t>运行经费</w:t>
      </w:r>
      <w:r>
        <w:rPr>
          <w:rFonts w:hint="eastAsia" w:ascii="宋体" w:hAnsi="宋体" w:cs="宋体"/>
          <w:b/>
          <w:bCs/>
          <w:sz w:val="44"/>
          <w:szCs w:val="44"/>
        </w:rPr>
        <w:t>项目申报书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36"/>
          <w:szCs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b/>
          <w:bCs/>
          <w:sz w:val="32"/>
          <w:szCs w:val="32"/>
        </w:rPr>
      </w:pPr>
      <w:r>
        <w:rPr>
          <w:rFonts w:hint="eastAsia" w:ascii="宋体" w:hAnsi="宋体" w:cs="宋体"/>
          <w:b/>
          <w:bCs/>
          <w:sz w:val="32"/>
          <w:szCs w:val="32"/>
        </w:rPr>
        <w:t>项目名称：</w:t>
      </w:r>
      <w:r>
        <w:rPr>
          <w:rFonts w:hint="eastAsia"/>
          <w:bCs/>
          <w:sz w:val="32"/>
          <w:szCs w:val="32"/>
          <w:lang w:eastAsia="zh-CN"/>
        </w:rPr>
        <w:t>温室</w:t>
      </w:r>
      <w:r>
        <w:rPr>
          <w:rFonts w:hint="eastAsia"/>
          <w:bCs/>
          <w:sz w:val="32"/>
          <w:szCs w:val="32"/>
          <w:lang w:val="en-US" w:eastAsia="zh-CN"/>
        </w:rPr>
        <w:t>大棚</w:t>
      </w:r>
      <w:r>
        <w:rPr>
          <w:rFonts w:hint="eastAsia"/>
          <w:bCs/>
          <w:sz w:val="32"/>
          <w:szCs w:val="32"/>
          <w:lang w:eastAsia="zh-CN"/>
        </w:rPr>
        <w:t>运行经费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cs="宋体"/>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项目编码：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项目执行单位</w:t>
      </w:r>
      <w:r>
        <w:rPr>
          <w:b/>
          <w:bCs/>
          <w:sz w:val="32"/>
          <w:szCs w:val="32"/>
        </w:rPr>
        <w:t>:</w:t>
      </w:r>
      <w:r>
        <w:rPr>
          <w:rFonts w:hint="eastAsia"/>
          <w:bCs/>
          <w:sz w:val="32"/>
          <w:szCs w:val="32"/>
        </w:rPr>
        <w:t>西藏昌都市农业科学研究所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b/>
          <w:bCs/>
          <w:sz w:val="32"/>
          <w:szCs w:val="32"/>
        </w:rPr>
      </w:pPr>
      <w:r>
        <w:rPr>
          <w:rFonts w:hint="eastAsia" w:ascii="宋体" w:hAnsi="宋体" w:cs="宋体"/>
          <w:b/>
          <w:bCs/>
          <w:sz w:val="32"/>
          <w:szCs w:val="32"/>
        </w:rPr>
        <w:t>本级主管部门：</w:t>
      </w:r>
      <w:r>
        <w:rPr>
          <w:rFonts w:hint="eastAsia" w:ascii="宋体" w:hAnsi="宋体" w:cs="宋体"/>
          <w:bCs/>
          <w:sz w:val="32"/>
          <w:szCs w:val="32"/>
        </w:rPr>
        <w:t>西藏昌都市农业农村局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bl>
      <w:tblPr>
        <w:tblStyle w:val="3"/>
        <w:tblW w:w="9240" w:type="dxa"/>
        <w:tblInd w:w="108" w:type="dxa"/>
        <w:tblLayout w:type="fixed"/>
        <w:tblCellMar>
          <w:top w:w="0" w:type="dxa"/>
          <w:left w:w="108" w:type="dxa"/>
          <w:bottom w:w="0" w:type="dxa"/>
          <w:right w:w="108" w:type="dxa"/>
        </w:tblCellMar>
      </w:tblPr>
      <w:tblGrid>
        <w:gridCol w:w="1780"/>
        <w:gridCol w:w="2780"/>
        <w:gridCol w:w="1565"/>
        <w:gridCol w:w="1555"/>
        <w:gridCol w:w="1560"/>
      </w:tblGrid>
      <w:tr>
        <w:tblPrEx>
          <w:tblCellMar>
            <w:top w:w="0" w:type="dxa"/>
            <w:left w:w="108" w:type="dxa"/>
            <w:bottom w:w="0" w:type="dxa"/>
            <w:right w:w="108" w:type="dxa"/>
          </w:tblCellMar>
        </w:tblPrEx>
        <w:trPr>
          <w:trHeight w:val="510" w:hRule="atLeast"/>
        </w:trPr>
        <w:tc>
          <w:tcPr>
            <w:tcW w:w="178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项目负责人</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宋体" w:hAnsi="宋体" w:eastAsia="宋体" w:cs="宋体"/>
                <w:sz w:val="24"/>
                <w:szCs w:val="24"/>
                <w:lang w:val="en-US" w:eastAsia="zh-CN"/>
              </w:rPr>
            </w:pPr>
            <w:r>
              <w:rPr>
                <w:rFonts w:hint="eastAsia" w:ascii="宋体" w:hAnsi="宋体" w:cs="宋体"/>
                <w:sz w:val="24"/>
                <w:szCs w:val="24"/>
                <w:lang w:val="en-US" w:eastAsia="zh-CN"/>
              </w:rPr>
              <w:t>金剑波</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单位地址</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西藏昌都市卡若区卡若镇旦达村</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项目属性</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lang w:eastAsia="zh-CN"/>
              </w:rPr>
              <w:t>延续性</w:t>
            </w:r>
            <w:r>
              <w:rPr>
                <w:rFonts w:hint="eastAsia" w:ascii="宋体" w:hAnsi="宋体" w:cs="宋体"/>
                <w:sz w:val="24"/>
                <w:szCs w:val="24"/>
              </w:rPr>
              <w:t>项目</w:t>
            </w:r>
          </w:p>
        </w:tc>
      </w:tr>
      <w:tr>
        <w:tblPrEx>
          <w:tblCellMar>
            <w:top w:w="0" w:type="dxa"/>
            <w:left w:w="108" w:type="dxa"/>
            <w:bottom w:w="0" w:type="dxa"/>
            <w:right w:w="108" w:type="dxa"/>
          </w:tblCellMar>
        </w:tblPrEx>
        <w:trPr>
          <w:cantSplit/>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项目预算</w:t>
            </w:r>
            <w:r>
              <w:rPr>
                <w:rFonts w:ascii="宋体" w:hAnsi="宋体" w:cs="宋体"/>
                <w:sz w:val="24"/>
                <w:szCs w:val="24"/>
              </w:rPr>
              <w:t xml:space="preserve">   </w:t>
            </w:r>
            <w:r>
              <w:rPr>
                <w:rFonts w:hint="eastAsia" w:ascii="宋体" w:hAnsi="宋体" w:cs="宋体"/>
                <w:sz w:val="24"/>
                <w:szCs w:val="24"/>
              </w:rPr>
              <w:t>（元）</w:t>
            </w:r>
          </w:p>
        </w:tc>
        <w:tc>
          <w:tcPr>
            <w:tcW w:w="7460" w:type="dxa"/>
            <w:gridSpan w:val="4"/>
            <w:tcBorders>
              <w:top w:val="nil"/>
              <w:left w:val="nil"/>
              <w:bottom w:val="nil"/>
              <w:right w:val="nil"/>
            </w:tcBorders>
            <w:tcMar>
              <w:left w:w="0" w:type="dxa"/>
              <w:right w:w="0" w:type="dxa"/>
            </w:tcMar>
          </w:tcPr>
          <w:tbl>
            <w:tblPr>
              <w:tblStyle w:val="3"/>
              <w:tblW w:w="7460" w:type="dxa"/>
              <w:tblInd w:w="0" w:type="dxa"/>
              <w:tblLayout w:type="fixed"/>
              <w:tblCellMar>
                <w:top w:w="0" w:type="dxa"/>
                <w:left w:w="108" w:type="dxa"/>
                <w:bottom w:w="0" w:type="dxa"/>
                <w:right w:w="108" w:type="dxa"/>
              </w:tblCellMar>
            </w:tblPr>
            <w:tblGrid>
              <w:gridCol w:w="1390"/>
              <w:gridCol w:w="1390"/>
              <w:gridCol w:w="1560"/>
              <w:gridCol w:w="1560"/>
              <w:gridCol w:w="1560"/>
            </w:tblGrid>
            <w:tr>
              <w:tblPrEx>
                <w:tblCellMar>
                  <w:top w:w="0" w:type="dxa"/>
                  <w:left w:w="108" w:type="dxa"/>
                  <w:bottom w:w="0" w:type="dxa"/>
                  <w:right w:w="108" w:type="dxa"/>
                </w:tblCellMar>
              </w:tblPrEx>
              <w:trPr>
                <w:cantSplit/>
                <w:trHeight w:val="510" w:hRule="atLeast"/>
              </w:trPr>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年份</w:t>
                  </w:r>
                </w:p>
              </w:tc>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合计</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财政拨款</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事业收入</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其他资金</w:t>
                  </w:r>
                </w:p>
              </w:tc>
            </w:tr>
            <w:tr>
              <w:tblPrEx>
                <w:tblCellMar>
                  <w:top w:w="0" w:type="dxa"/>
                  <w:left w:w="108" w:type="dxa"/>
                  <w:bottom w:w="0" w:type="dxa"/>
                  <w:right w:w="108" w:type="dxa"/>
                </w:tblCellMar>
              </w:tblPrEx>
              <w:trPr>
                <w:cantSplit/>
                <w:trHeight w:val="615" w:hRule="atLeast"/>
              </w:trPr>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2023年-2025年</w:t>
                  </w:r>
                </w:p>
              </w:tc>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276.00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276.00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bookmarkStart w:id="0" w:name="_GoBack"/>
                  <w:bookmarkEnd w:id="0"/>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p>
              </w:tc>
            </w:tr>
            <w:tr>
              <w:tblPrEx>
                <w:tblCellMar>
                  <w:top w:w="0" w:type="dxa"/>
                  <w:left w:w="108" w:type="dxa"/>
                  <w:bottom w:w="0" w:type="dxa"/>
                  <w:right w:w="108" w:type="dxa"/>
                </w:tblCellMar>
              </w:tblPrEx>
              <w:trPr>
                <w:cantSplit/>
                <w:trHeight w:val="553" w:hRule="atLeast"/>
              </w:trPr>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2023年</w:t>
                  </w:r>
                </w:p>
              </w:tc>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cs="宋体"/>
                      <w:sz w:val="24"/>
                      <w:szCs w:val="24"/>
                      <w:lang w:val="en-US" w:eastAsia="zh-CN"/>
                    </w:rPr>
                  </w:pPr>
                  <w:r>
                    <w:rPr>
                      <w:rFonts w:hint="eastAsia" w:ascii="宋体" w:hAnsi="宋体" w:cs="宋体"/>
                      <w:sz w:val="24"/>
                      <w:szCs w:val="24"/>
                      <w:lang w:val="en-US" w:eastAsia="zh-CN"/>
                    </w:rPr>
                    <w:t>92.00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cs="宋体"/>
                      <w:sz w:val="24"/>
                      <w:szCs w:val="24"/>
                      <w:lang w:val="en-US" w:eastAsia="zh-CN"/>
                    </w:rPr>
                  </w:pPr>
                  <w:r>
                    <w:rPr>
                      <w:rFonts w:hint="eastAsia" w:ascii="宋体" w:hAnsi="宋体" w:cs="宋体"/>
                      <w:sz w:val="24"/>
                      <w:szCs w:val="24"/>
                      <w:lang w:val="en-US" w:eastAsia="zh-CN"/>
                    </w:rPr>
                    <w:t>92.00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bl>
          <w:p>
            <w:pPr>
              <w:jc w:val="left"/>
              <w:rPr>
                <w:rFonts w:ascii="宋体" w:hAnsi="宋体" w:cs="宋体"/>
                <w:sz w:val="24"/>
                <w:szCs w:val="24"/>
              </w:rPr>
            </w:pP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功能科目</w:t>
            </w:r>
          </w:p>
        </w:tc>
        <w:tc>
          <w:tcPr>
            <w:tcW w:w="278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科目代码：</w:t>
            </w:r>
            <w:r>
              <w:rPr>
                <w:rFonts w:ascii="宋体" w:hAnsi="宋体" w:cs="宋体"/>
                <w:sz w:val="24"/>
                <w:szCs w:val="24"/>
              </w:rPr>
              <w:t xml:space="preserve"> </w:t>
            </w:r>
          </w:p>
        </w:tc>
        <w:tc>
          <w:tcPr>
            <w:tcW w:w="1565" w:type="dxa"/>
            <w:tcBorders>
              <w:top w:val="nil"/>
              <w:left w:val="nil"/>
              <w:bottom w:val="single" w:color="auto" w:sz="4" w:space="0"/>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　</w:t>
            </w:r>
          </w:p>
        </w:tc>
        <w:tc>
          <w:tcPr>
            <w:tcW w:w="1555"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科目名称：</w:t>
            </w:r>
          </w:p>
        </w:tc>
        <w:tc>
          <w:tcPr>
            <w:tcW w:w="156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1957"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项目申请理由</w:t>
            </w:r>
            <w:r>
              <w:rPr>
                <w:rFonts w:ascii="宋体" w:hAnsi="宋体" w:cs="宋体"/>
                <w:sz w:val="24"/>
                <w:szCs w:val="24"/>
              </w:rPr>
              <w:t xml:space="preserve"> </w:t>
            </w:r>
          </w:p>
        </w:tc>
        <w:tc>
          <w:tcPr>
            <w:tcW w:w="7460" w:type="dxa"/>
            <w:gridSpan w:val="4"/>
            <w:tcBorders>
              <w:top w:val="single" w:color="auto" w:sz="4" w:space="0"/>
              <w:left w:val="nil"/>
              <w:bottom w:val="single" w:color="auto" w:sz="4" w:space="0"/>
              <w:right w:val="single" w:color="auto" w:sz="4" w:space="0"/>
            </w:tcBorders>
            <w:vAlign w:val="center"/>
          </w:tcPr>
          <w:p>
            <w:pPr>
              <w:spacing w:line="240" w:lineRule="auto"/>
              <w:ind w:firstLine="480" w:firstLineChars="200"/>
              <w:rPr>
                <w:rFonts w:hint="eastAsia" w:ascii="宋体" w:hAnsi="宋体"/>
                <w:sz w:val="24"/>
                <w:szCs w:val="24"/>
                <w:lang w:val="en-US" w:eastAsia="zh-CN"/>
              </w:rPr>
            </w:pPr>
          </w:p>
          <w:p>
            <w:pPr>
              <w:spacing w:line="240" w:lineRule="auto"/>
              <w:ind w:firstLine="481" w:firstLineChars="200"/>
              <w:rPr>
                <w:rFonts w:hint="eastAsia" w:ascii="宋体" w:hAnsi="宋体"/>
                <w:sz w:val="24"/>
                <w:szCs w:val="24"/>
                <w:lang w:val="en-US" w:eastAsia="zh-CN"/>
              </w:rPr>
            </w:pPr>
            <w:r>
              <w:rPr>
                <w:rFonts w:hint="eastAsia" w:ascii="宋体" w:hAnsi="宋体"/>
                <w:b/>
                <w:bCs/>
                <w:sz w:val="24"/>
                <w:szCs w:val="24"/>
                <w:lang w:val="en-US" w:eastAsia="zh-CN"/>
              </w:rPr>
              <w:t>项目依据：</w:t>
            </w:r>
            <w:r>
              <w:rPr>
                <w:rFonts w:hint="eastAsia" w:ascii="宋体" w:hAnsi="宋体"/>
                <w:sz w:val="24"/>
                <w:szCs w:val="24"/>
                <w:lang w:val="en-US" w:eastAsia="zh-CN"/>
              </w:rPr>
              <w:t>蔬菜是城乡居民生活必不可少的重要农产品，保障蔬菜供给是重大的民生问题，党中央、国务院历来高度重视蔬菜产业发展。《全国蔬菜产业发展规划（2011-2020年）》提出，大力发展蔬菜产业，保障市场供给、合理调整结构、提高产品质量、增加农民收入。《昌都市国民经济和社会发展第十三个五年规划》提出，围绕建设“高原特色农畜产品生产基地”，以实现粮食、蔬菜、肉类自己为目标，加快调整优化农牧业结构。加快结构调整步伐，大力发展特色产业，提高农业现代化水平和农牧民生活水平。</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智能化温室主要用于蔬菜、水果、花卉育苗和良种繁育，占地面积5666㎡，温室长132.20m，宽40.2m。配备内遮阳系统、外遮阳系统、内保温系统、顶开窗系统、强制隆温系统、空气环游系统、移动系统、配电系统、智能控制系统、网络监控系统、沉淀池过滤系统等辅助设施。开展立体栽培、无土栽培、水肥一体化、病虫害合理防治、清洁生产等示范，并作为体闲产业、观光农业、消费于一体的现代化农业示范基地。</w:t>
            </w:r>
            <w:r>
              <w:rPr>
                <w:rFonts w:hint="default" w:ascii="宋体" w:hAnsi="宋体"/>
                <w:sz w:val="24"/>
                <w:szCs w:val="24"/>
                <w:lang w:val="en-US" w:eastAsia="zh-CN"/>
              </w:rPr>
              <w:t>对我市农业现代化研究示范和推广，打造蓝天圣洁产具有重要意义</w:t>
            </w:r>
            <w:r>
              <w:rPr>
                <w:rFonts w:hint="eastAsia" w:ascii="宋体" w:hAnsi="宋体"/>
                <w:sz w:val="24"/>
                <w:szCs w:val="24"/>
                <w:lang w:val="en-US" w:eastAsia="zh-CN"/>
              </w:rPr>
              <w:t>。</w:t>
            </w:r>
          </w:p>
          <w:p>
            <w:pPr>
              <w:spacing w:line="24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日光温大棚能充分利用太阳能，保温和蓄热能力强，能最大限度地减少温室散热，温室效应强，有利于蔬菜、花卉的生长生产。开展蔬菜、水果、食用菌的高效栽培研究示范，有利于推动我市蔬菜产业发展。</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本项目</w:t>
            </w:r>
            <w:r>
              <w:rPr>
                <w:rFonts w:hint="default" w:ascii="宋体" w:hAnsi="宋体"/>
                <w:sz w:val="24"/>
                <w:szCs w:val="24"/>
                <w:lang w:val="en-US" w:eastAsia="zh-CN"/>
              </w:rPr>
              <w:t>通过蔬菜集中育苗，</w:t>
            </w:r>
            <w:r>
              <w:rPr>
                <w:rFonts w:hint="eastAsia" w:ascii="宋体" w:hAnsi="宋体"/>
                <w:sz w:val="24"/>
                <w:szCs w:val="24"/>
                <w:lang w:val="en-US" w:eastAsia="zh-CN"/>
              </w:rPr>
              <w:t>示范蔬菜优良</w:t>
            </w:r>
            <w:r>
              <w:rPr>
                <w:rFonts w:hint="default" w:ascii="宋体" w:hAnsi="宋体"/>
                <w:sz w:val="24"/>
                <w:szCs w:val="24"/>
                <w:lang w:val="en-US" w:eastAsia="zh-CN"/>
              </w:rPr>
              <w:t>品种</w:t>
            </w:r>
            <w:r>
              <w:rPr>
                <w:rFonts w:hint="eastAsia" w:ascii="宋体" w:hAnsi="宋体"/>
                <w:sz w:val="24"/>
                <w:szCs w:val="24"/>
                <w:lang w:val="en-US" w:eastAsia="zh-CN"/>
              </w:rPr>
              <w:t>及高效栽培技术</w:t>
            </w:r>
            <w:r>
              <w:rPr>
                <w:rFonts w:hint="default" w:ascii="宋体" w:hAnsi="宋体"/>
                <w:sz w:val="24"/>
                <w:szCs w:val="24"/>
                <w:lang w:val="en-US" w:eastAsia="zh-CN"/>
              </w:rPr>
              <w:t>，解决</w:t>
            </w:r>
            <w:r>
              <w:rPr>
                <w:rFonts w:hint="eastAsia" w:ascii="宋体" w:hAnsi="宋体"/>
                <w:sz w:val="24"/>
                <w:szCs w:val="24"/>
                <w:lang w:val="en-US" w:eastAsia="zh-CN"/>
              </w:rPr>
              <w:t>蔬菜种植技术水平偏低、</w:t>
            </w:r>
            <w:r>
              <w:rPr>
                <w:rFonts w:hint="default" w:ascii="宋体" w:hAnsi="宋体"/>
                <w:sz w:val="24"/>
                <w:szCs w:val="24"/>
                <w:lang w:val="en-US" w:eastAsia="zh-CN"/>
              </w:rPr>
              <w:t>蔬菜品种单调、品质较低、蔬菜供应不平衡、单品种大量上市价格较低的问题，实现高原特色蔬菜、水果、花卉产业化</w:t>
            </w:r>
            <w:r>
              <w:rPr>
                <w:rFonts w:hint="eastAsia" w:ascii="宋体" w:hAnsi="宋体"/>
                <w:sz w:val="24"/>
                <w:szCs w:val="24"/>
                <w:lang w:val="en-US" w:eastAsia="zh-CN"/>
              </w:rPr>
              <w:t>经营、示范</w:t>
            </w:r>
            <w:r>
              <w:rPr>
                <w:rFonts w:hint="default" w:ascii="宋体" w:hAnsi="宋体"/>
                <w:sz w:val="24"/>
                <w:szCs w:val="24"/>
                <w:lang w:val="en-US" w:eastAsia="zh-CN"/>
              </w:rPr>
              <w:t>。</w:t>
            </w:r>
          </w:p>
          <w:p>
            <w:pPr>
              <w:spacing w:line="240" w:lineRule="auto"/>
              <w:rPr>
                <w:rFonts w:hint="eastAsia" w:ascii="宋体" w:hAnsi="宋体"/>
                <w:sz w:val="24"/>
                <w:szCs w:val="24"/>
                <w:lang w:val="en-US" w:eastAsia="zh-CN"/>
              </w:rPr>
            </w:pPr>
          </w:p>
          <w:p>
            <w:pPr>
              <w:spacing w:line="240" w:lineRule="auto"/>
              <w:ind w:firstLine="481" w:firstLineChars="200"/>
              <w:rPr>
                <w:rFonts w:hint="eastAsia" w:ascii="宋体" w:hAnsi="宋体"/>
                <w:sz w:val="24"/>
                <w:szCs w:val="24"/>
                <w:lang w:val="en-US" w:eastAsia="zh-CN"/>
              </w:rPr>
            </w:pPr>
            <w:r>
              <w:rPr>
                <w:rFonts w:hint="eastAsia" w:ascii="宋体" w:hAnsi="宋体"/>
                <w:b/>
                <w:bCs/>
                <w:sz w:val="24"/>
                <w:szCs w:val="24"/>
                <w:lang w:val="en-US" w:eastAsia="zh-CN"/>
              </w:rPr>
              <w:t>必要性</w:t>
            </w:r>
            <w:r>
              <w:rPr>
                <w:rFonts w:hint="eastAsia" w:ascii="宋体" w:hAnsi="宋体"/>
                <w:sz w:val="24"/>
                <w:szCs w:val="24"/>
                <w:lang w:val="en-US" w:eastAsia="zh-CN"/>
              </w:rPr>
              <w:t>：近年来，在市场需求和政策扶持的基础上，我市蔬菜产业发展迅速，产量逐年递增。近年来我市设施农业发展迅猛，据统计至2019年昌都市已建成设施农业大棚6600余座，总占地面积达3700亩。昌都市设施农业蔬菜栽培技术的研究必不可少，只有提升了设施蔬菜栽培技术才能发挥昌都市设施农业大棚的最大价值，才能提升昌都市蔬菜产量品质，进一步实现昌都市蔬菜的自给自足。</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智能化温室主要用于蔬菜、水果、花卉育苗和良种繁育，占地面积5666㎡。冬季昌都气温低-19℃，智能温室昼夜温差可达50℃，对植物生长造成严重损害，智能温室采用电供暖方式在冬季运行，以保证智能温室的正常使用，示范现代农业生产，推进打造蓝天圣洁产业。</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本项目对现代栽培技术和绿蔬菜色生产技术示范，有利于推动我市蔬菜种植手段多样化、种植技术现代化，有效带动周边老百姓增收致富，对加快昌都市农业设施现代化进程具有十分重要和深远的意义。</w:t>
            </w:r>
          </w:p>
          <w:p>
            <w:pPr>
              <w:spacing w:line="240" w:lineRule="auto"/>
              <w:ind w:firstLine="480" w:firstLineChars="200"/>
              <w:rPr>
                <w:rFonts w:hint="default" w:ascii="宋体" w:hAnsi="宋体"/>
                <w:sz w:val="24"/>
                <w:szCs w:val="24"/>
                <w:lang w:val="en-US" w:eastAsia="zh-CN"/>
              </w:rPr>
            </w:pPr>
          </w:p>
          <w:p>
            <w:pPr>
              <w:spacing w:line="240" w:lineRule="auto"/>
              <w:ind w:firstLine="481" w:firstLineChars="200"/>
              <w:rPr>
                <w:rFonts w:hint="eastAsia" w:ascii="宋体" w:hAnsi="宋体"/>
                <w:sz w:val="24"/>
                <w:szCs w:val="24"/>
                <w:lang w:val="en-US" w:eastAsia="zh-CN"/>
              </w:rPr>
            </w:pPr>
            <w:r>
              <w:rPr>
                <w:rFonts w:hint="eastAsia" w:ascii="宋体" w:hAnsi="宋体"/>
                <w:b/>
                <w:bCs/>
                <w:sz w:val="24"/>
                <w:szCs w:val="24"/>
                <w:lang w:val="en-US" w:eastAsia="zh-CN"/>
              </w:rPr>
              <w:t>可行性：</w:t>
            </w:r>
            <w:r>
              <w:rPr>
                <w:rFonts w:hint="eastAsia" w:ascii="宋体" w:hAnsi="宋体"/>
                <w:sz w:val="24"/>
                <w:szCs w:val="24"/>
                <w:lang w:val="en-US" w:eastAsia="zh-CN"/>
              </w:rPr>
              <w:t>昌都市农科所拥有现代化智能温室一座，面积5314㎡。智能温室分为热带花卉栽培区、蔬菜采摘区、育苗间三个主要功能间，遵循生态学、生态经济学规律，运用系统工程方法与现代科学技术，将再生能源、现代农业装备及物联网技术有机融合，建立一种低能耗、高能效、生态环保的智慧型温室。突出新能源与设施农业的有机结合，满足循环、绿色和智慧要求，使水、肥料资源循环利用，运用建筑节能、再生能源进行安全生产。是特色突出、优势明显、技术高新、设施先进、功能合理、科学管理、运作高效、环境融合和现代高档设施。</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日光温室大棚13座，总占地面积约为13亩，可实现大棚蔬菜和露地蔬菜协同种植，设施内主要采用膜下滴灌、微喷带、喷灌等节水灌溉技术，示范现代高效农业种植技术。</w:t>
            </w:r>
          </w:p>
          <w:p>
            <w:pPr>
              <w:spacing w:line="240" w:lineRule="auto"/>
              <w:ind w:firstLine="440" w:firstLineChars="200"/>
              <w:rPr>
                <w:rFonts w:hint="eastAsia" w:ascii="宋体" w:hAnsi="宋体" w:eastAsia="宋体"/>
                <w:sz w:val="22"/>
                <w:szCs w:val="22"/>
                <w:lang w:eastAsia="zh-CN"/>
              </w:rPr>
            </w:pP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项目主要内容</w:t>
            </w:r>
          </w:p>
        </w:tc>
        <w:tc>
          <w:tcPr>
            <w:tcW w:w="7460" w:type="dxa"/>
            <w:gridSpan w:val="4"/>
            <w:tcBorders>
              <w:top w:val="single" w:color="auto" w:sz="4" w:space="0"/>
              <w:left w:val="nil"/>
              <w:bottom w:val="single" w:color="auto" w:sz="4" w:space="0"/>
              <w:right w:val="single" w:color="auto" w:sz="4" w:space="0"/>
            </w:tcBorders>
            <w:vAlign w:val="center"/>
          </w:tcPr>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农科所拥有智能化温室大棚1座，日光温室大棚13座，主要用于蔬菜、水果、花卉、食用菌的示范栽培、集中育苗和良种繁育等研究。本项目于设施大棚中开展蔬菜、花卉的无土栽培、水肥一体化、病虫害合理防治、清洁生产等示范。</w:t>
            </w:r>
          </w:p>
          <w:p>
            <w:pPr>
              <w:spacing w:line="240" w:lineRule="auto"/>
              <w:ind w:firstLine="481" w:firstLineChars="200"/>
              <w:rPr>
                <w:rFonts w:hint="eastAsia" w:ascii="宋体" w:hAnsi="宋体"/>
                <w:b/>
                <w:bCs/>
                <w:sz w:val="24"/>
                <w:szCs w:val="24"/>
                <w:lang w:val="en-US" w:eastAsia="zh-CN"/>
              </w:rPr>
            </w:pPr>
            <w:r>
              <w:rPr>
                <w:rFonts w:hint="eastAsia" w:ascii="宋体" w:hAnsi="宋体"/>
                <w:b/>
                <w:bCs/>
                <w:sz w:val="24"/>
                <w:szCs w:val="24"/>
                <w:lang w:val="en-US" w:eastAsia="zh-CN"/>
              </w:rPr>
              <w:t>（一）无土栽培</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无土栽培具有节水、省肥、高产；清洁卫生无污染；省工省力、易于管理；避免连作障碍；不受地区限制、充分利用空间；有利于实现农业现代化等优点。</w:t>
            </w:r>
          </w:p>
          <w:p>
            <w:pPr>
              <w:spacing w:line="24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智能化温室配备立体栽培、水培和基质栽培等无土栽培设备。立体栽培用于草莓、花卉、观赏蔬菜的栽培示范；水培用于叶菜、花卉的栽培示范，如生菜、芹菜等；基质栽培用于番茄的栽培示范。</w:t>
            </w:r>
          </w:p>
          <w:p>
            <w:pPr>
              <w:spacing w:line="240" w:lineRule="auto"/>
              <w:ind w:firstLine="481" w:firstLineChars="200"/>
              <w:rPr>
                <w:rFonts w:hint="eastAsia" w:ascii="宋体" w:hAnsi="宋体"/>
                <w:b/>
                <w:bCs/>
                <w:sz w:val="24"/>
                <w:szCs w:val="24"/>
                <w:lang w:val="en-US" w:eastAsia="zh-CN"/>
              </w:rPr>
            </w:pPr>
            <w:r>
              <w:rPr>
                <w:rFonts w:hint="eastAsia" w:ascii="宋体" w:hAnsi="宋体"/>
                <w:b/>
                <w:bCs/>
                <w:sz w:val="24"/>
                <w:szCs w:val="24"/>
                <w:lang w:val="en-US" w:eastAsia="zh-CN"/>
              </w:rPr>
              <w:t>（二）膜下滴灌、水肥一体化</w:t>
            </w:r>
          </w:p>
          <w:p>
            <w:pPr>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在设施农业中，病虫害多发生于高温高湿情况下，因此加强设施温湿度管理能有效控制病虫害。据了解，昌都市目前灌溉方式传统，设施内主要采取的灌溉方式为大水漫灌，大水漫灌后设施内湿度过大，极易发生病害，如软腐病、灰霉病、早疫病等。水肥一体化属于局部灌溉方式，由于滴水强度小于土壤的入渗速度，因而不会形成径流使土壤板结。膜下滴灌滴水量很少，且能够使土壤中有限的水分循环于土壤与地膜之间，减少作物的棵间蒸发；将肥料溶于水中，利用滴灌随水滴到作物根系土壤中，使肥料利用率大大提高。膜下滴灌能适时适量地向作物根区供水供肥，调节棵间的温度和湿度；同时地膜覆盖昼夜温差变化时，膜内结露，能改善作物生长的微气候环境，从而为作物生长提供良好的条件，达到增产。</w:t>
            </w:r>
          </w:p>
          <w:p>
            <w:pPr>
              <w:spacing w:line="240" w:lineRule="auto"/>
              <w:ind w:firstLine="481" w:firstLineChars="200"/>
              <w:rPr>
                <w:rFonts w:hint="eastAsia" w:ascii="宋体" w:hAnsi="宋体"/>
                <w:b/>
                <w:bCs/>
                <w:sz w:val="24"/>
                <w:szCs w:val="24"/>
                <w:lang w:val="en-US" w:eastAsia="zh-CN"/>
              </w:rPr>
            </w:pPr>
            <w:r>
              <w:rPr>
                <w:rFonts w:hint="eastAsia" w:ascii="宋体" w:hAnsi="宋体"/>
                <w:b/>
                <w:bCs/>
                <w:sz w:val="24"/>
                <w:szCs w:val="24"/>
                <w:lang w:val="en-US" w:eastAsia="zh-CN"/>
              </w:rPr>
              <w:t>（三）病虫害合理防治</w:t>
            </w:r>
          </w:p>
          <w:p>
            <w:pPr>
              <w:spacing w:line="24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设施农业的蔬菜病虫害的预防其实是目前设施农业蔬菜栽培技术管理过程中一项十分重要的技术。在蔬菜的病虫害防治管理中,以“预防为主，综合防治”为指导方针，物理、化学、生物防治相互结合，有效控制病虫害的发生。物理防治方法主要有防虫网、黄篮板、趋避等；生物防治有天敌利用、农用抗生素、植物源农药等；化学防治即化学农药使用。</w:t>
            </w:r>
          </w:p>
          <w:p>
            <w:pPr>
              <w:spacing w:line="240" w:lineRule="auto"/>
              <w:ind w:firstLine="480" w:firstLineChars="200"/>
              <w:rPr>
                <w:rFonts w:hint="eastAsia" w:ascii="宋体" w:hAnsi="宋体"/>
                <w:sz w:val="24"/>
                <w:szCs w:val="24"/>
              </w:rPr>
            </w:pP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经费测算</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lang w:val="en-US" w:eastAsia="zh-CN"/>
              </w:rPr>
            </w:pPr>
            <w:r>
              <w:rPr>
                <w:rFonts w:hint="eastAsia" w:ascii="宋体" w:hAnsi="宋体"/>
                <w:b/>
                <w:bCs w:val="0"/>
                <w:sz w:val="24"/>
                <w:szCs w:val="24"/>
              </w:rPr>
              <w:t>2</w:t>
            </w:r>
            <w:r>
              <w:rPr>
                <w:rFonts w:hint="eastAsia" w:ascii="宋体" w:hAnsi="宋体"/>
                <w:b/>
                <w:bCs w:val="0"/>
                <w:sz w:val="24"/>
                <w:szCs w:val="24"/>
                <w:lang w:val="en-US" w:eastAsia="zh-CN"/>
              </w:rPr>
              <w:t>023年项目总需资金92.00万元，其中材料费27.</w:t>
            </w:r>
            <w:r>
              <w:rPr>
                <w:rFonts w:hint="default" w:ascii="宋体" w:hAnsi="宋体"/>
                <w:b/>
                <w:bCs w:val="0"/>
                <w:sz w:val="24"/>
                <w:szCs w:val="24"/>
                <w:lang w:val="en" w:eastAsia="zh-CN"/>
              </w:rPr>
              <w:t>7</w:t>
            </w:r>
            <w:r>
              <w:rPr>
                <w:rFonts w:hint="eastAsia" w:ascii="宋体" w:hAnsi="宋体"/>
                <w:b/>
                <w:bCs w:val="0"/>
                <w:sz w:val="24"/>
                <w:szCs w:val="24"/>
                <w:lang w:val="en-US" w:eastAsia="zh-CN"/>
              </w:rPr>
              <w:t>0万元，电费33.80万元，劳务费20.80万元，印刷费2.5万元，其他支出7.</w:t>
            </w:r>
            <w:r>
              <w:rPr>
                <w:rFonts w:hint="default" w:ascii="宋体" w:hAnsi="宋体"/>
                <w:b/>
                <w:bCs w:val="0"/>
                <w:sz w:val="24"/>
                <w:szCs w:val="24"/>
                <w:lang w:val="en" w:eastAsia="zh-CN"/>
              </w:rPr>
              <w:t>2</w:t>
            </w:r>
            <w:r>
              <w:rPr>
                <w:rFonts w:hint="eastAsia" w:ascii="宋体" w:hAnsi="宋体"/>
                <w:b/>
                <w:bCs w:val="0"/>
                <w:sz w:val="24"/>
                <w:szCs w:val="24"/>
                <w:lang w:val="en-US" w:eastAsia="zh-CN"/>
              </w:rPr>
              <w:t>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1、材料费：27.</w:t>
            </w:r>
            <w:r>
              <w:rPr>
                <w:rFonts w:hint="default" w:ascii="宋体" w:hAnsi="宋体"/>
                <w:b/>
                <w:bCs w:val="0"/>
                <w:sz w:val="24"/>
                <w:szCs w:val="24"/>
                <w:lang w:val="en" w:eastAsia="zh-CN"/>
              </w:rPr>
              <w:t>7</w:t>
            </w:r>
            <w:r>
              <w:rPr>
                <w:rFonts w:hint="eastAsia" w:ascii="宋体" w:hAnsi="宋体"/>
                <w:b/>
                <w:bCs w:val="0"/>
                <w:sz w:val="24"/>
                <w:szCs w:val="24"/>
                <w:lang w:val="en-US" w:eastAsia="zh-CN"/>
              </w:rPr>
              <w:t>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种子（种苗）约计5.00万元；国产育苗基质0.5万元/吨*4吨=2.00万元；生物有机肥0.4万元/吨*5吨=2.00万元；水溶肥1万元/吨*2吨=2.00万元；生物菌肥0.5万元/吨*2吨=1.00万元；育苗穴盘1.00万元；农药地膜及滴灌带等约计2.50万元；仪器设备燃油1000升×8元/升=0.8万元。小计16.30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智能化温室维护</w:t>
            </w:r>
            <w:r>
              <w:rPr>
                <w:rFonts w:hint="default" w:ascii="宋体" w:hAnsi="宋体"/>
                <w:bCs/>
                <w:sz w:val="24"/>
                <w:szCs w:val="24"/>
                <w:lang w:val="en" w:eastAsia="zh-CN"/>
              </w:rPr>
              <w:t>1.00</w:t>
            </w:r>
            <w:r>
              <w:rPr>
                <w:rFonts w:hint="eastAsia" w:ascii="宋体" w:hAnsi="宋体"/>
                <w:bCs/>
                <w:sz w:val="24"/>
                <w:szCs w:val="24"/>
                <w:lang w:val="en-US" w:eastAsia="zh-CN"/>
              </w:rPr>
              <w:t>万元；日光温室大棚维修维护13座*0.</w:t>
            </w:r>
            <w:r>
              <w:rPr>
                <w:rFonts w:hint="default" w:ascii="宋体" w:hAnsi="宋体"/>
                <w:bCs/>
                <w:sz w:val="24"/>
                <w:szCs w:val="24"/>
                <w:lang w:val="en" w:eastAsia="zh-CN"/>
              </w:rPr>
              <w:t>8</w:t>
            </w:r>
            <w:r>
              <w:rPr>
                <w:rFonts w:hint="eastAsia" w:ascii="宋体" w:hAnsi="宋体"/>
                <w:bCs/>
                <w:sz w:val="24"/>
                <w:szCs w:val="24"/>
                <w:lang w:val="en-US" w:eastAsia="zh-CN"/>
              </w:rPr>
              <w:t>0万元=</w:t>
            </w:r>
            <w:r>
              <w:rPr>
                <w:rFonts w:hint="default" w:ascii="宋体" w:hAnsi="宋体"/>
                <w:bCs/>
                <w:sz w:val="24"/>
                <w:szCs w:val="24"/>
                <w:lang w:val="en" w:eastAsia="zh-CN"/>
              </w:rPr>
              <w:t>10.40</w:t>
            </w:r>
            <w:r>
              <w:rPr>
                <w:rFonts w:hint="eastAsia" w:ascii="宋体" w:hAnsi="宋体"/>
                <w:bCs/>
                <w:sz w:val="24"/>
                <w:szCs w:val="24"/>
                <w:lang w:val="en-US" w:eastAsia="zh-CN"/>
              </w:rPr>
              <w:t>万元。小计11.</w:t>
            </w:r>
            <w:r>
              <w:rPr>
                <w:rFonts w:hint="default" w:ascii="宋体" w:hAnsi="宋体"/>
                <w:bCs/>
                <w:sz w:val="24"/>
                <w:szCs w:val="24"/>
                <w:lang w:val="en" w:eastAsia="zh-CN"/>
              </w:rPr>
              <w:t>4</w:t>
            </w:r>
            <w:r>
              <w:rPr>
                <w:rFonts w:hint="eastAsia" w:ascii="宋体" w:hAnsi="宋体"/>
                <w:bCs/>
                <w:sz w:val="24"/>
                <w:szCs w:val="24"/>
                <w:lang w:val="en-US" w:eastAsia="zh-CN"/>
              </w:rPr>
              <w:t>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r>
              <w:rPr>
                <w:rFonts w:hint="eastAsia" w:ascii="宋体" w:hAnsi="宋体"/>
                <w:bCs/>
                <w:sz w:val="24"/>
                <w:szCs w:val="24"/>
                <w:lang w:val="en" w:eastAsia="zh-CN"/>
              </w:rPr>
              <w:t>计需</w:t>
            </w:r>
            <w:r>
              <w:rPr>
                <w:rFonts w:hint="eastAsia" w:ascii="宋体" w:hAnsi="宋体"/>
                <w:bCs/>
                <w:sz w:val="24"/>
                <w:szCs w:val="24"/>
                <w:lang w:val="en-US" w:eastAsia="zh-CN"/>
              </w:rPr>
              <w:t>27.70万元。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2、电费：33.80万元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智能温室日常运行8500元/月*8月=6.80万元；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r>
              <w:rPr>
                <w:rFonts w:hint="eastAsia" w:ascii="宋体" w:hAnsi="宋体"/>
                <w:bCs/>
                <w:sz w:val="24"/>
                <w:szCs w:val="24"/>
                <w:lang w:val="en-US" w:eastAsia="zh-CN"/>
              </w:rPr>
              <w:t>智能温室冬季配套供暖系统运行6.00万元/月*4月=24.00万元；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日光温室大棚及相关设施设备运行耗电0.25万元/月*12月=3.00万元。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r>
              <w:rPr>
                <w:rFonts w:hint="eastAsia" w:ascii="宋体" w:hAnsi="宋体"/>
                <w:bCs/>
                <w:sz w:val="24"/>
                <w:szCs w:val="24"/>
                <w:lang w:val="en-US" w:eastAsia="zh-CN"/>
              </w:rPr>
              <w:t>计需33.80万元。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
                <w:bCs w:val="0"/>
                <w:sz w:val="24"/>
                <w:szCs w:val="24"/>
                <w:lang w:val="en-US" w:eastAsia="zh-CN"/>
              </w:rPr>
            </w:pPr>
            <w:r>
              <w:rPr>
                <w:rFonts w:hint="eastAsia" w:ascii="宋体" w:hAnsi="宋体"/>
                <w:b/>
                <w:bCs w:val="0"/>
                <w:sz w:val="24"/>
                <w:szCs w:val="24"/>
                <w:lang w:val="en-US" w:eastAsia="zh-CN"/>
              </w:rPr>
              <w:t>3、劳务费：20.80万元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聘用长期劳务及管理人员1人*8000元/人/月*12月/年=9.60万元；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临时劳务人员聘请2人/天*160元/天/人*300天/年=11.20万元。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r>
              <w:rPr>
                <w:rFonts w:hint="eastAsia" w:ascii="宋体" w:hAnsi="宋体"/>
                <w:bCs/>
                <w:sz w:val="24"/>
                <w:szCs w:val="24"/>
                <w:lang w:val="en-US" w:eastAsia="zh-CN"/>
              </w:rPr>
              <w:t>计需20.80万元。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4、印刷费：2.50万元。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Cs/>
                <w:sz w:val="24"/>
                <w:szCs w:val="24"/>
                <w:lang w:val="en-US" w:eastAsia="zh-CN"/>
              </w:rPr>
            </w:pPr>
            <w:r>
              <w:rPr>
                <w:rFonts w:hint="eastAsia" w:ascii="宋体" w:hAnsi="宋体"/>
                <w:bCs/>
                <w:sz w:val="24"/>
                <w:szCs w:val="24"/>
                <w:lang w:val="en-US" w:eastAsia="zh-CN"/>
              </w:rPr>
              <w:t>用于项目中材料打印、宣传手册制作等2.50万元。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5、其他支出：7.</w:t>
            </w:r>
            <w:r>
              <w:rPr>
                <w:rFonts w:hint="default" w:ascii="宋体" w:hAnsi="宋体"/>
                <w:b/>
                <w:bCs w:val="0"/>
                <w:sz w:val="24"/>
                <w:szCs w:val="24"/>
                <w:lang w:val="en" w:eastAsia="zh-CN"/>
              </w:rPr>
              <w:t>2</w:t>
            </w:r>
            <w:r>
              <w:rPr>
                <w:rFonts w:hint="eastAsia" w:ascii="宋体" w:hAnsi="宋体"/>
                <w:b/>
                <w:bCs w:val="0"/>
                <w:sz w:val="24"/>
                <w:szCs w:val="24"/>
                <w:lang w:val="en-US" w:eastAsia="zh-CN"/>
              </w:rPr>
              <w:t>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r>
              <w:rPr>
                <w:rFonts w:hint="eastAsia" w:ascii="宋体" w:hAnsi="宋体"/>
                <w:bCs/>
                <w:sz w:val="24"/>
                <w:szCs w:val="24"/>
                <w:lang w:val="en-US" w:eastAsia="zh-CN"/>
              </w:rPr>
              <w:t>用于智能温室物联网系统运行维护及实施过程中不可预见费用计需7.20万元。</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default" w:ascii="宋体" w:hAnsi="宋体"/>
                <w:bCs/>
                <w:sz w:val="24"/>
                <w:szCs w:val="24"/>
                <w:lang w:val="en-US" w:eastAsia="zh-CN"/>
              </w:rPr>
            </w:pPr>
          </w:p>
        </w:tc>
      </w:tr>
      <w:tr>
        <w:tblPrEx>
          <w:tblCellMar>
            <w:top w:w="0" w:type="dxa"/>
            <w:left w:w="108" w:type="dxa"/>
            <w:bottom w:w="0" w:type="dxa"/>
            <w:right w:w="108" w:type="dxa"/>
          </w:tblCellMar>
        </w:tblPrEx>
        <w:trPr>
          <w:trHeight w:val="282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项目组织实施计划</w:t>
            </w:r>
            <w:r>
              <w:rPr>
                <w:rFonts w:ascii="宋体" w:hAnsi="宋体" w:cs="宋体"/>
                <w:sz w:val="24"/>
                <w:szCs w:val="24"/>
              </w:rPr>
              <w:t xml:space="preserve">       </w:t>
            </w:r>
          </w:p>
        </w:tc>
        <w:tc>
          <w:tcPr>
            <w:tcW w:w="7460" w:type="dxa"/>
            <w:gridSpan w:val="4"/>
            <w:tcBorders>
              <w:top w:val="single" w:color="auto" w:sz="4" w:space="0"/>
              <w:left w:val="nil"/>
              <w:bottom w:val="single" w:color="auto" w:sz="4" w:space="0"/>
              <w:right w:val="single" w:color="auto" w:sz="4" w:space="0"/>
            </w:tcBorders>
            <w:vAlign w:val="center"/>
          </w:tcPr>
          <w:p>
            <w:pPr>
              <w:spacing w:line="240" w:lineRule="auto"/>
              <w:ind w:firstLine="570"/>
              <w:rPr>
                <w:rFonts w:hint="eastAsia" w:ascii="宋体" w:hAnsi="宋体"/>
                <w:b/>
                <w:sz w:val="24"/>
                <w:szCs w:val="24"/>
                <w:lang w:val="en-US" w:eastAsia="zh-CN"/>
              </w:rPr>
            </w:pPr>
          </w:p>
          <w:p>
            <w:pPr>
              <w:spacing w:line="240" w:lineRule="auto"/>
              <w:ind w:firstLine="570"/>
              <w:rPr>
                <w:rFonts w:hint="eastAsia" w:ascii="宋体" w:hAnsi="宋体"/>
                <w:b/>
                <w:sz w:val="24"/>
                <w:szCs w:val="24"/>
                <w:lang w:val="en-US" w:eastAsia="zh-CN"/>
              </w:rPr>
            </w:pPr>
          </w:p>
          <w:p>
            <w:pPr>
              <w:spacing w:line="240" w:lineRule="auto"/>
              <w:ind w:firstLine="570"/>
              <w:rPr>
                <w:rFonts w:hint="default" w:ascii="宋体" w:hAnsi="宋体" w:eastAsia="宋体"/>
                <w:bCs/>
                <w:sz w:val="24"/>
                <w:szCs w:val="24"/>
                <w:lang w:val="en-US" w:eastAsia="zh-CN"/>
              </w:rPr>
            </w:pPr>
            <w:r>
              <w:rPr>
                <w:rFonts w:hint="eastAsia" w:ascii="宋体" w:hAnsi="宋体"/>
                <w:b/>
                <w:sz w:val="24"/>
                <w:szCs w:val="24"/>
                <w:lang w:val="en-US" w:eastAsia="zh-CN"/>
              </w:rPr>
              <w:t>1-3月</w:t>
            </w:r>
            <w:r>
              <w:rPr>
                <w:rFonts w:hint="eastAsia" w:ascii="宋体" w:hAnsi="宋体"/>
                <w:bCs/>
                <w:sz w:val="24"/>
                <w:szCs w:val="24"/>
              </w:rPr>
              <w:t>相关种子、育苗基质、生物有机肥等材料采购</w:t>
            </w:r>
            <w:r>
              <w:rPr>
                <w:rFonts w:hint="eastAsia" w:ascii="宋体" w:hAnsi="宋体"/>
                <w:bCs/>
                <w:sz w:val="24"/>
                <w:szCs w:val="24"/>
                <w:lang w:eastAsia="zh-CN"/>
              </w:rPr>
              <w:t>；</w:t>
            </w:r>
            <w:r>
              <w:rPr>
                <w:rFonts w:hint="eastAsia" w:ascii="宋体" w:hAnsi="宋体"/>
                <w:bCs/>
                <w:sz w:val="24"/>
                <w:szCs w:val="24"/>
                <w:lang w:val="en-US" w:eastAsia="zh-CN"/>
              </w:rPr>
              <w:t>种苗集中育苗。</w:t>
            </w:r>
          </w:p>
          <w:p>
            <w:pPr>
              <w:spacing w:line="240" w:lineRule="auto"/>
              <w:ind w:firstLine="570"/>
              <w:rPr>
                <w:rFonts w:hint="eastAsia" w:ascii="宋体" w:hAnsi="宋体"/>
                <w:bCs/>
                <w:sz w:val="24"/>
                <w:szCs w:val="24"/>
                <w:lang w:eastAsia="zh-CN"/>
              </w:rPr>
            </w:pPr>
            <w:r>
              <w:rPr>
                <w:rFonts w:hint="eastAsia" w:ascii="宋体" w:hAnsi="宋体"/>
                <w:b/>
                <w:bCs w:val="0"/>
                <w:sz w:val="24"/>
                <w:szCs w:val="24"/>
                <w:lang w:val="en-US" w:eastAsia="zh-CN"/>
              </w:rPr>
              <w:t>3-10月</w:t>
            </w:r>
            <w:r>
              <w:rPr>
                <w:rFonts w:hint="eastAsia" w:ascii="宋体" w:hAnsi="宋体"/>
                <w:bCs/>
                <w:sz w:val="24"/>
                <w:szCs w:val="24"/>
                <w:lang w:val="en-US" w:eastAsia="zh-CN"/>
              </w:rPr>
              <w:t>示范研究</w:t>
            </w:r>
            <w:r>
              <w:rPr>
                <w:rFonts w:hint="eastAsia" w:ascii="宋体" w:hAnsi="宋体"/>
                <w:bCs/>
                <w:sz w:val="24"/>
                <w:szCs w:val="24"/>
              </w:rPr>
              <w:t>，对现代农业蔬菜栽培措施、病虫害合理防治及水肥高效管理进行</w:t>
            </w:r>
            <w:r>
              <w:rPr>
                <w:rFonts w:hint="eastAsia" w:ascii="宋体" w:hAnsi="宋体"/>
                <w:bCs/>
                <w:sz w:val="24"/>
                <w:szCs w:val="24"/>
                <w:lang w:val="en-US" w:eastAsia="zh-CN"/>
              </w:rPr>
              <w:t>高效示范</w:t>
            </w:r>
            <w:r>
              <w:rPr>
                <w:rFonts w:hint="eastAsia" w:ascii="宋体" w:hAnsi="宋体"/>
                <w:bCs/>
                <w:sz w:val="24"/>
                <w:szCs w:val="24"/>
                <w:lang w:eastAsia="zh-CN"/>
              </w:rPr>
              <w:t>。</w:t>
            </w:r>
          </w:p>
          <w:p>
            <w:pPr>
              <w:spacing w:line="240" w:lineRule="auto"/>
              <w:ind w:firstLine="570"/>
              <w:rPr>
                <w:rFonts w:hint="eastAsia" w:ascii="宋体" w:hAnsi="宋体"/>
                <w:bCs/>
                <w:sz w:val="24"/>
                <w:szCs w:val="24"/>
              </w:rPr>
            </w:pPr>
            <w:r>
              <w:rPr>
                <w:rFonts w:hint="eastAsia" w:ascii="宋体" w:hAnsi="宋体"/>
                <w:b/>
                <w:bCs w:val="0"/>
                <w:sz w:val="24"/>
                <w:szCs w:val="24"/>
                <w:lang w:val="en-US" w:eastAsia="zh-CN"/>
              </w:rPr>
              <w:t>11-12月</w:t>
            </w:r>
            <w:r>
              <w:rPr>
                <w:rFonts w:hint="eastAsia" w:ascii="宋体" w:hAnsi="宋体"/>
                <w:bCs/>
                <w:sz w:val="24"/>
                <w:szCs w:val="24"/>
                <w:lang w:val="en-US" w:eastAsia="zh-CN"/>
              </w:rPr>
              <w:t>完成年度总结、整理项目资料形成项目总结</w:t>
            </w:r>
            <w:r>
              <w:rPr>
                <w:rFonts w:hint="eastAsia" w:ascii="宋体" w:hAnsi="宋体"/>
                <w:bCs/>
                <w:sz w:val="24"/>
                <w:szCs w:val="24"/>
              </w:rPr>
              <w:t>。</w:t>
            </w:r>
          </w:p>
          <w:p>
            <w:pPr>
              <w:spacing w:line="240" w:lineRule="auto"/>
              <w:ind w:firstLine="570"/>
              <w:rPr>
                <w:rFonts w:hint="eastAsia" w:ascii="宋体" w:hAnsi="宋体"/>
                <w:bCs/>
                <w:sz w:val="24"/>
                <w:szCs w:val="24"/>
              </w:rPr>
            </w:pPr>
          </w:p>
          <w:p>
            <w:pPr>
              <w:spacing w:line="240" w:lineRule="auto"/>
              <w:ind w:firstLine="570"/>
              <w:rPr>
                <w:rFonts w:hint="eastAsia" w:ascii="宋体" w:hAnsi="宋体"/>
                <w:bCs/>
                <w:sz w:val="24"/>
                <w:szCs w:val="24"/>
              </w:rPr>
            </w:pPr>
          </w:p>
          <w:p>
            <w:pPr>
              <w:spacing w:line="240" w:lineRule="auto"/>
              <w:ind w:firstLine="570"/>
              <w:rPr>
                <w:rFonts w:ascii="宋体" w:hAnsi="宋体" w:cs="仿宋"/>
                <w:bCs/>
                <w:sz w:val="24"/>
                <w:szCs w:val="24"/>
              </w:rPr>
            </w:pPr>
          </w:p>
        </w:tc>
      </w:tr>
      <w:tr>
        <w:tblPrEx>
          <w:tblCellMar>
            <w:top w:w="0" w:type="dxa"/>
            <w:left w:w="108" w:type="dxa"/>
            <w:bottom w:w="0" w:type="dxa"/>
            <w:right w:w="108" w:type="dxa"/>
          </w:tblCellMar>
        </w:tblPrEx>
        <w:trPr>
          <w:cantSplit/>
          <w:trHeight w:val="54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项目采购内容</w:t>
            </w:r>
          </w:p>
        </w:tc>
        <w:tc>
          <w:tcPr>
            <w:tcW w:w="7460" w:type="dxa"/>
            <w:gridSpan w:val="4"/>
            <w:tcBorders>
              <w:top w:val="nil"/>
              <w:left w:val="nil"/>
              <w:bottom w:val="nil"/>
              <w:right w:val="nil"/>
            </w:tcBorders>
            <w:tcMar>
              <w:left w:w="0" w:type="dxa"/>
              <w:right w:w="0" w:type="dxa"/>
            </w:tcMar>
          </w:tcPr>
          <w:tbl>
            <w:tblPr>
              <w:tblStyle w:val="3"/>
              <w:tblW w:w="0" w:type="auto"/>
              <w:tblInd w:w="0" w:type="dxa"/>
              <w:tblLayout w:type="fixed"/>
              <w:tblCellMar>
                <w:top w:w="0" w:type="dxa"/>
                <w:left w:w="108" w:type="dxa"/>
                <w:bottom w:w="0" w:type="dxa"/>
                <w:right w:w="108" w:type="dxa"/>
              </w:tblCellMar>
            </w:tblPr>
            <w:tblGrid>
              <w:gridCol w:w="4340"/>
              <w:gridCol w:w="3120"/>
            </w:tblGrid>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品目</w:t>
                  </w:r>
                </w:p>
              </w:tc>
              <w:tc>
                <w:tcPr>
                  <w:tcW w:w="3120" w:type="dxa"/>
                  <w:tcBorders>
                    <w:top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数量</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bl>
          <w:p>
            <w:pPr>
              <w:jc w:val="left"/>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2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65"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55"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hint="eastAsia" w:ascii="宋体" w:hAnsi="宋体" w:cs="宋体"/>
                <w:sz w:val="24"/>
                <w:szCs w:val="24"/>
              </w:rPr>
              <w:t>《项目申报书》填报说明</w:t>
            </w:r>
          </w:p>
        </w:tc>
      </w:tr>
      <w:tr>
        <w:tblPrEx>
          <w:tblCellMar>
            <w:top w:w="0" w:type="dxa"/>
            <w:left w:w="108" w:type="dxa"/>
            <w:bottom w:w="0" w:type="dxa"/>
            <w:right w:w="108" w:type="dxa"/>
          </w:tblCellMar>
        </w:tblPrEx>
        <w:trPr>
          <w:trHeight w:val="1230"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、《项目申报书》是自治区本级级行政事业单位向自治区财政厅申请行政事业类项目支出预算时所使用的申报材料标准格式，由项目单位组织填制。在报送</w:t>
            </w:r>
            <w:r>
              <w:rPr>
                <w:rFonts w:ascii="宋体" w:hAnsi="宋体" w:cs="宋体"/>
                <w:sz w:val="24"/>
                <w:szCs w:val="24"/>
              </w:rPr>
              <w:t>2014</w:t>
            </w:r>
            <w:r>
              <w:rPr>
                <w:rFonts w:hint="eastAsia" w:ascii="宋体" w:hAnsi="宋体" w:cs="宋体"/>
                <w:sz w:val="24"/>
                <w:szCs w:val="24"/>
              </w:rPr>
              <w:t>年预算数据时，所有的项目支出都应当填制一份《项目申报书》。</w:t>
            </w:r>
          </w:p>
        </w:tc>
      </w:tr>
      <w:tr>
        <w:tblPrEx>
          <w:tblCellMar>
            <w:top w:w="0" w:type="dxa"/>
            <w:left w:w="108" w:type="dxa"/>
            <w:bottom w:w="0" w:type="dxa"/>
            <w:right w:w="108" w:type="dxa"/>
          </w:tblCellMar>
        </w:tblPrEx>
        <w:trPr>
          <w:trHeight w:val="390"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、项目名称：按规范的项目名称内容填报，与部门预算项目名称一致；</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、项目编码：财政部门统一规定的单位预算代码；</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、项目执行单位：填写项目用款单位；</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、项目负责人：填写项目用款单位的负责人；</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6</w:t>
            </w:r>
            <w:r>
              <w:rPr>
                <w:rFonts w:hint="eastAsia" w:ascii="宋体" w:hAnsi="宋体" w:cs="宋体"/>
                <w:sz w:val="24"/>
                <w:szCs w:val="24"/>
              </w:rPr>
              <w:t>、项目属性：分为“延续项目”、“新增一次性项目”和“新增延续性项目”；</w:t>
            </w:r>
          </w:p>
        </w:tc>
      </w:tr>
      <w:tr>
        <w:tblPrEx>
          <w:tblCellMar>
            <w:top w:w="0" w:type="dxa"/>
            <w:left w:w="108" w:type="dxa"/>
            <w:bottom w:w="0" w:type="dxa"/>
            <w:right w:w="108" w:type="dxa"/>
          </w:tblCellMar>
        </w:tblPrEx>
        <w:trPr>
          <w:trHeight w:val="660"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、项目预算：填写项目资金总额，并按资金来源不同分别填写，包括财政拨款、自有资金、其他等；</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、功能科目：按政府收支分类科目填列，与项目支出录入选择的科目及代码一致；</w:t>
            </w:r>
          </w:p>
        </w:tc>
      </w:tr>
      <w:tr>
        <w:tblPrEx>
          <w:tblCellMar>
            <w:top w:w="0" w:type="dxa"/>
            <w:left w:w="108" w:type="dxa"/>
            <w:bottom w:w="0" w:type="dxa"/>
            <w:right w:w="108" w:type="dxa"/>
          </w:tblCellMar>
        </w:tblPrEx>
        <w:trPr>
          <w:trHeight w:val="67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9</w:t>
            </w:r>
            <w:r>
              <w:rPr>
                <w:rFonts w:hint="eastAsia" w:ascii="宋体" w:hAnsi="宋体" w:cs="宋体"/>
                <w:sz w:val="24"/>
                <w:szCs w:val="24"/>
              </w:rPr>
              <w:t>、项目申请理由：分别描述项目立项的依据、项目申报的可行性、项目申报的必要性等；</w:t>
            </w:r>
          </w:p>
        </w:tc>
      </w:tr>
      <w:tr>
        <w:tblPrEx>
          <w:tblCellMar>
            <w:top w:w="0" w:type="dxa"/>
            <w:left w:w="108" w:type="dxa"/>
            <w:bottom w:w="0" w:type="dxa"/>
            <w:right w:w="108" w:type="dxa"/>
          </w:tblCellMar>
        </w:tblPrEx>
        <w:trPr>
          <w:trHeight w:val="37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10</w:t>
            </w:r>
            <w:r>
              <w:rPr>
                <w:rFonts w:hint="eastAsia" w:ascii="宋体" w:hAnsi="宋体" w:cs="宋体"/>
                <w:sz w:val="24"/>
                <w:szCs w:val="24"/>
              </w:rPr>
              <w:t>、项目主要内容：简要描述项目的内容、目的、范围、期限等基本情况；</w:t>
            </w:r>
          </w:p>
        </w:tc>
      </w:tr>
      <w:tr>
        <w:tblPrEx>
          <w:tblCellMar>
            <w:top w:w="0" w:type="dxa"/>
            <w:left w:w="108" w:type="dxa"/>
            <w:bottom w:w="0" w:type="dxa"/>
            <w:right w:w="108" w:type="dxa"/>
          </w:tblCellMar>
        </w:tblPrEx>
        <w:trPr>
          <w:trHeight w:val="390"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11</w:t>
            </w:r>
            <w:r>
              <w:rPr>
                <w:rFonts w:hint="eastAsia" w:ascii="宋体" w:hAnsi="宋体" w:cs="宋体"/>
                <w:sz w:val="24"/>
                <w:szCs w:val="24"/>
              </w:rPr>
              <w:t>、经费测算：包括经费组成、测算过程等；</w:t>
            </w:r>
          </w:p>
        </w:tc>
      </w:tr>
      <w:tr>
        <w:tblPrEx>
          <w:tblCellMar>
            <w:top w:w="0" w:type="dxa"/>
            <w:left w:w="108" w:type="dxa"/>
            <w:bottom w:w="0" w:type="dxa"/>
            <w:right w:w="108" w:type="dxa"/>
          </w:tblCellMar>
        </w:tblPrEx>
        <w:trPr>
          <w:trHeight w:val="64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12</w:t>
            </w:r>
            <w:r>
              <w:rPr>
                <w:rFonts w:hint="eastAsia" w:ascii="宋体" w:hAnsi="宋体" w:cs="宋体"/>
                <w:sz w:val="24"/>
                <w:szCs w:val="24"/>
              </w:rPr>
              <w:t>、项目组织实施计划：按进度描述本年度项目具体细化的实施内容，包括项目预算支出执行计划。</w:t>
            </w:r>
          </w:p>
        </w:tc>
      </w:tr>
      <w:tr>
        <w:tblPrEx>
          <w:tblCellMar>
            <w:top w:w="0" w:type="dxa"/>
            <w:left w:w="108" w:type="dxa"/>
            <w:bottom w:w="0" w:type="dxa"/>
            <w:right w:w="108" w:type="dxa"/>
          </w:tblCellMar>
        </w:tblPrEx>
        <w:trPr>
          <w:trHeight w:val="285" w:hRule="atLeast"/>
        </w:trPr>
        <w:tc>
          <w:tcPr>
            <w:tcW w:w="9240" w:type="dxa"/>
            <w:gridSpan w:val="5"/>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13</w:t>
            </w:r>
            <w:r>
              <w:rPr>
                <w:rFonts w:hint="eastAsia" w:ascii="宋体" w:hAnsi="宋体" w:cs="宋体"/>
                <w:sz w:val="24"/>
                <w:szCs w:val="24"/>
              </w:rPr>
              <w:t>、项目采购内容：涉及政府采购的，要列出采购项目、采购数量。</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ascii="宋体" w:hAnsi="宋体" w:cs="宋体"/>
                <w:sz w:val="24"/>
                <w:szCs w:val="24"/>
              </w:rPr>
              <w:t>14</w:t>
            </w:r>
            <w:r>
              <w:rPr>
                <w:rFonts w:hint="eastAsia" w:ascii="宋体" w:hAnsi="宋体" w:cs="宋体"/>
                <w:sz w:val="24"/>
                <w:szCs w:val="24"/>
              </w:rPr>
              <w:t>、申报项目属本级财政投入安排的项目。</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p>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31EB"/>
    <w:rsid w:val="0B6A73AD"/>
    <w:rsid w:val="162A32FB"/>
    <w:rsid w:val="216B4175"/>
    <w:rsid w:val="2517135B"/>
    <w:rsid w:val="26012D9E"/>
    <w:rsid w:val="2E147988"/>
    <w:rsid w:val="311A2C08"/>
    <w:rsid w:val="35A604D6"/>
    <w:rsid w:val="36EA3421"/>
    <w:rsid w:val="37331A27"/>
    <w:rsid w:val="38E31BFF"/>
    <w:rsid w:val="39FE2F6D"/>
    <w:rsid w:val="3AFEEA34"/>
    <w:rsid w:val="3B2148E0"/>
    <w:rsid w:val="3B3E1886"/>
    <w:rsid w:val="3C8A5ED9"/>
    <w:rsid w:val="45B42A83"/>
    <w:rsid w:val="502327C4"/>
    <w:rsid w:val="51B05428"/>
    <w:rsid w:val="53B33C84"/>
    <w:rsid w:val="56656676"/>
    <w:rsid w:val="5B1A3616"/>
    <w:rsid w:val="5C8B8236"/>
    <w:rsid w:val="5F2D66A9"/>
    <w:rsid w:val="5FFB2A7A"/>
    <w:rsid w:val="662878D3"/>
    <w:rsid w:val="708F5AD3"/>
    <w:rsid w:val="766E1DCA"/>
    <w:rsid w:val="76E5B944"/>
    <w:rsid w:val="77F76947"/>
    <w:rsid w:val="77FBB891"/>
    <w:rsid w:val="CC668487"/>
    <w:rsid w:val="D63FBE63"/>
    <w:rsid w:val="F69D3F07"/>
    <w:rsid w:val="F9FB44C1"/>
    <w:rsid w:val="FBBD8714"/>
    <w:rsid w:val="FC8E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5443</Words>
  <Characters>6079</Characters>
  <Paragraphs>253</Paragraphs>
  <TotalTime>1</TotalTime>
  <ScaleCrop>false</ScaleCrop>
  <LinksUpToDate>false</LinksUpToDate>
  <CharactersWithSpaces>6104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2020-09-24T01:55:00Z</dcterms:created>
  <dc:creator>admin</dc:creator>
  <cp:lastModifiedBy>user</cp:lastModifiedBy>
  <dcterms:modified xsi:type="dcterms:W3CDTF">2023-01-17T14:24:39Z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